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sz w:val="28"/>
        </w:rPr>
        <w:drawing>
          <wp:inline>
            <wp:extent cx="713232" cy="89153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13232" cy="89153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 w:firstLine="0" w:left="0"/>
        <w:jc w:val="center"/>
        <w:rPr>
          <w:sz w:val="28"/>
        </w:rPr>
      </w:pPr>
      <w:r>
        <w:rPr>
          <w:rFonts w:ascii="Times New Roman" w:hAnsi="Times New Roman"/>
          <w:sz w:val="28"/>
        </w:rPr>
        <w:t>ПСКОВСКАЯ ОБЛАСТЬ</w:t>
      </w:r>
      <w:bookmarkStart w:id="1" w:name="_Hlk148425239"/>
    </w:p>
    <w:p w14:paraId="03000000">
      <w:pPr>
        <w:pStyle w:val="Style_1"/>
        <w:widowControl w:val="1"/>
        <w:spacing w:line="276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СОБРАНИЕ ДЕПУТАТОВ </w:t>
      </w:r>
    </w:p>
    <w:p w14:paraId="04000000">
      <w:pPr>
        <w:pStyle w:val="Style_1"/>
        <w:widowControl w:val="1"/>
        <w:spacing w:line="276" w:lineRule="auto"/>
        <w:ind/>
        <w:jc w:val="center"/>
        <w:rPr>
          <w:sz w:val="28"/>
        </w:rPr>
      </w:pPr>
      <w:r>
        <w:rPr>
          <w:b w:val="0"/>
          <w:sz w:val="28"/>
        </w:rPr>
        <w:t>ПЛЮССКОГО МУНИЦИПАЛЬНОГО ОКРУГА</w:t>
      </w:r>
    </w:p>
    <w:p w14:paraId="05000000">
      <w:pPr>
        <w:pStyle w:val="Style_1"/>
        <w:widowControl w:val="1"/>
        <w:spacing w:line="276" w:lineRule="auto"/>
        <w:ind/>
        <w:jc w:val="center"/>
        <w:rPr>
          <w:b w:val="0"/>
          <w:sz w:val="28"/>
        </w:rPr>
      </w:pPr>
    </w:p>
    <w:p w14:paraId="06000000">
      <w:pPr>
        <w:pStyle w:val="Style_1"/>
        <w:widowControl w:val="1"/>
        <w:ind/>
        <w:jc w:val="center"/>
        <w:rPr>
          <w:sz w:val="28"/>
        </w:rPr>
      </w:pPr>
      <w:r>
        <w:rPr>
          <w:sz w:val="28"/>
        </w:rPr>
        <w:t>РЕШЕНИЕ</w:t>
      </w:r>
      <w:bookmarkEnd w:id="1"/>
    </w:p>
    <w:p w14:paraId="07000000">
      <w:pPr>
        <w:rPr>
          <w:rFonts w:ascii="Times New Roman" w:hAnsi="Times New Roman"/>
          <w:sz w:val="28"/>
        </w:rPr>
      </w:pPr>
    </w:p>
    <w:p w14:paraId="08000000">
      <w:pPr>
        <w:ind w:firstLine="0" w:left="0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От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20.02.2025 № 1</w:t>
      </w:r>
      <w:r>
        <w:rPr>
          <w:rFonts w:ascii="Times New Roman" w:hAnsi="Times New Roman"/>
          <w:b w:val="1"/>
          <w:sz w:val="28"/>
          <w:u w:val="single"/>
        </w:rPr>
        <w:t>2</w:t>
      </w:r>
    </w:p>
    <w:p w14:paraId="09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ринято на 1-ой очередной сессии</w:t>
      </w:r>
    </w:p>
    <w:p w14:paraId="0A000000">
      <w:pPr>
        <w:ind w:firstLine="0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Собрания депутатов</w:t>
      </w:r>
    </w:p>
    <w:p w14:paraId="0B000000">
      <w:pPr>
        <w:ind w:firstLine="0" w:left="0"/>
        <w:rPr>
          <w:sz w:val="26"/>
        </w:rPr>
      </w:pPr>
      <w:r>
        <w:rPr>
          <w:rFonts w:ascii="Times New Roman" w:hAnsi="Times New Roman"/>
          <w:sz w:val="26"/>
        </w:rPr>
        <w:t xml:space="preserve">Плюсского муниципального округа  </w:t>
      </w:r>
    </w:p>
    <w:p w14:paraId="0C000000">
      <w:pPr>
        <w:ind/>
        <w:jc w:val="left"/>
        <w:rPr>
          <w:rFonts w:ascii="Times New Roman" w:hAnsi="Times New Roman"/>
          <w:sz w:val="28"/>
        </w:rPr>
      </w:pPr>
    </w:p>
    <w:p w14:paraId="0D000000">
      <w:pPr>
        <w:ind w:firstLine="0" w:left="0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статью 29.8</w:t>
      </w:r>
    </w:p>
    <w:p w14:paraId="0E000000">
      <w:pPr>
        <w:ind w:firstLine="0" w:left="0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Главы 6 Части 3 Правил землепользования и застройки</w:t>
      </w:r>
    </w:p>
    <w:p w14:paraId="0F000000">
      <w:pPr>
        <w:ind w:firstLine="0" w:left="0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сельского поселения «Лядская волость»</w:t>
      </w:r>
    </w:p>
    <w:p w14:paraId="10000000">
      <w:pPr>
        <w:ind w:firstLine="0" w:left="0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Плюсского района Псковской области</w:t>
      </w:r>
    </w:p>
    <w:p w14:paraId="11000000">
      <w:pPr>
        <w:rPr>
          <w:sz w:val="28"/>
        </w:rPr>
      </w:pPr>
      <w:r>
        <w:rPr>
          <w:rFonts w:ascii="Times New Roman" w:hAnsi="Times New Roman"/>
          <w:sz w:val="28"/>
        </w:rPr>
        <w:tab/>
      </w:r>
    </w:p>
    <w:p w14:paraId="12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В соответствии со статьей 33 Градостроительного кодекса Российской Федерации,   статьей 28  Федерального закона от 06 октября 2003 №131-ФЗ «Об общих принципах организации местного самоуправления в Российской Федерации»</w:t>
      </w:r>
      <w:bookmarkStart w:id="2" w:name="_Hlk1448874460"/>
      <w:bookmarkEnd w:id="2"/>
      <w:r>
        <w:rPr>
          <w:sz w:val="28"/>
        </w:rPr>
        <w:t xml:space="preserve">, Положением о публичных слушаниях, утвержденных решением Собрания депутатов Плюсского района от 21 декабря 2009 года №75, руководствуясь Уставом муниципального образования «Плюсский муниципальный округ»,  Собрание депутатов Плюсского муниципального округа  РЕШИЛО:  </w:t>
      </w:r>
    </w:p>
    <w:p w14:paraId="13000000">
      <w:pPr>
        <w:pStyle w:val="Style_2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Изложить статью 29.8  Главы 6 Части 3 Правил землепользования и застройки сельского поселения «Лядская волость» Плюсского района Псковской области утвержденных решением Собрания депутатов сельского поселения «Лядская волость» от 29 декабря 2012 года № 65, в новой редакции:</w:t>
      </w:r>
    </w:p>
    <w:p w14:paraId="14000000">
      <w:pPr>
        <w:pStyle w:val="Style_3"/>
        <w:spacing w:before="0"/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«Статья 29.8. Предельные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tbl>
      <w:tblPr>
        <w:tblStyle w:val="Style_4"/>
        <w:tblInd w:type="dxa" w:w="211"/>
        <w:tblLayout w:type="fixed"/>
        <w:tblCellMar>
          <w:left w:type="dxa" w:w="5"/>
          <w:right w:type="dxa" w:w="5"/>
        </w:tblCellMar>
      </w:tblPr>
      <w:tblGrid>
        <w:gridCol w:w="777"/>
        <w:gridCol w:w="584"/>
        <w:gridCol w:w="759"/>
        <w:gridCol w:w="949"/>
        <w:gridCol w:w="155"/>
        <w:gridCol w:w="665"/>
        <w:gridCol w:w="1605"/>
        <w:gridCol w:w="22"/>
        <w:gridCol w:w="1146"/>
        <w:gridCol w:w="210"/>
        <w:gridCol w:w="1127"/>
        <w:gridCol w:w="21"/>
        <w:gridCol w:w="1496"/>
        <w:gridCol w:w="54"/>
      </w:tblGrid>
      <w:tr>
        <w:trPr>
          <w:trHeight w:hRule="atLeast" w:val="533"/>
        </w:trPr>
        <w:tc>
          <w:tcPr>
            <w:tcW w:type="dxa" w:w="7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Зона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Минимальная площадь,</w:t>
            </w:r>
          </w:p>
          <w:p w14:paraId="1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га.</w:t>
            </w:r>
          </w:p>
          <w:p w14:paraId="1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Максимальная площадь,</w:t>
            </w:r>
          </w:p>
          <w:p w14:paraId="1A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коэффициент застройки, %</w:t>
            </w:r>
          </w:p>
        </w:tc>
        <w:tc>
          <w:tcPr>
            <w:tcW w:type="dxa" w:w="2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Предельная высота зданий, сооружений, строений или предельное количество этажей</w:t>
            </w:r>
          </w:p>
          <w:p w14:paraId="1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Минимальный отступ от границ земельного участка, м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1F00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2"/>
        </w:trPr>
        <w:tc>
          <w:tcPr>
            <w:tcW w:type="dxa" w:w="7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ГП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ГП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 w:firstLine="188" w:left="-18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Максимальная высота </w:t>
            </w:r>
            <w:r>
              <w:rPr>
                <w:rFonts w:ascii="Times New Roman" w:hAnsi="Times New Roman"/>
                <w:sz w:val="28"/>
              </w:rPr>
              <w:t>здания до конька крыши, м</w:t>
            </w:r>
          </w:p>
        </w:tc>
        <w:tc>
          <w:tcPr>
            <w:tcW w:type="dxa" w:w="13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Предельное количество </w:t>
            </w:r>
            <w:r>
              <w:rPr>
                <w:rFonts w:ascii="Times New Roman" w:hAnsi="Times New Roman"/>
                <w:sz w:val="28"/>
              </w:rPr>
              <w:t>этажей</w:t>
            </w:r>
          </w:p>
        </w:tc>
        <w:tc>
          <w:tcPr>
            <w:tcW w:type="dxa" w:w="1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28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Ж1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 w:firstLine="0" w:left="0" w:right="-12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0,15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 w:firstLine="0" w:left="0" w:right="-121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0,5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11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100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212"/>
        </w:trP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Ж2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0,15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11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3A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СИ*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0,03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0,10</w:t>
            </w:r>
          </w:p>
        </w:tc>
        <w:tc>
          <w:tcPr>
            <w:tcW w:type="dxa" w:w="17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type="dxa" w:w="13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11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3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П1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0,02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2,0</w:t>
            </w:r>
          </w:p>
        </w:tc>
        <w:tc>
          <w:tcPr>
            <w:tcW w:type="dxa" w:w="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40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4A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ИТ-1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 w:firstLine="0" w:left="0" w:right="-108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17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40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50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ИИ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13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17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40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56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Р-1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0,05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0,02</w:t>
            </w:r>
          </w:p>
        </w:tc>
        <w:tc>
          <w:tcPr>
            <w:tcW w:type="dxa" w:w="17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40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5D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С-2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7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40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64000000">
            <w:pPr>
              <w:widowControl w:val="0"/>
              <w:ind/>
              <w:rPr>
                <w:sz w:val="28"/>
              </w:rPr>
            </w:pPr>
          </w:p>
        </w:tc>
      </w:tr>
      <w:tr>
        <w:tc>
          <w:tcPr>
            <w:tcW w:type="dxa" w:w="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СХ</w:t>
            </w:r>
            <w:r>
              <w:rPr>
                <w:rFonts w:ascii="Times New Roman" w:hAnsi="Times New Roman"/>
                <w:b w:val="1"/>
                <w:sz w:val="28"/>
                <w:vertAlign w:val="superscript"/>
              </w:rPr>
              <w:t>*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0,02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0,15</w:t>
            </w:r>
          </w:p>
        </w:tc>
        <w:tc>
          <w:tcPr>
            <w:tcW w:type="dxa" w:w="1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ind w:firstLine="0" w:left="0" w:right="-54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type="dxa" w:w="16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400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подлежит установлению</w:t>
            </w:r>
          </w:p>
        </w:tc>
        <w:tc>
          <w:tcPr>
            <w:tcW w:type="dxa" w:w="54"/>
            <w:shd w:fill="auto" w:val="clear"/>
            <w:tcMar>
              <w:top w:type="dxa" w:w="0"/>
              <w:left w:type="dxa" w:w="5"/>
              <w:bottom w:type="dxa" w:w="0"/>
              <w:right w:type="dxa" w:w="5"/>
            </w:tcMar>
          </w:tcPr>
          <w:p w14:paraId="6C000000">
            <w:pPr>
              <w:widowControl w:val="0"/>
              <w:ind/>
              <w:rPr>
                <w:sz w:val="28"/>
              </w:rPr>
            </w:pPr>
          </w:p>
        </w:tc>
      </w:tr>
    </w:tbl>
    <w:p w14:paraId="6D000000">
      <w:pPr>
        <w:ind w:firstLine="0" w:left="0"/>
        <w:jc w:val="left"/>
        <w:rPr>
          <w:rFonts w:ascii="Times New Roman" w:hAnsi="Times New Roman"/>
          <w:sz w:val="28"/>
        </w:rPr>
      </w:pPr>
    </w:p>
    <w:p w14:paraId="6E000000">
      <w:pPr>
        <w:ind w:firstLine="0" w:left="0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*В зонах Ж-1, Ж-2, С-1, С-2, СХ  </w:t>
      </w:r>
    </w:p>
    <w:p w14:paraId="6F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установить min-0.02 га, max-0.15 га, для видов разрешенного использования:</w:t>
      </w:r>
    </w:p>
    <w:p w14:paraId="70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- для садоводства </w:t>
      </w:r>
    </w:p>
    <w:p w14:paraId="71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- животноводства,</w:t>
      </w:r>
    </w:p>
    <w:p w14:paraId="72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- огородничество.</w:t>
      </w:r>
    </w:p>
    <w:p w14:paraId="73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*В зоне Ж-2</w:t>
      </w:r>
    </w:p>
    <w:p w14:paraId="74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установить min-0,01 га, max-0.15 га, для вида разрешенного использования:</w:t>
      </w:r>
    </w:p>
    <w:p w14:paraId="75000000">
      <w:pPr>
        <w:ind w:firstLine="0" w:left="0"/>
        <w:rPr>
          <w:sz w:val="28"/>
        </w:rPr>
      </w:pPr>
      <w:r>
        <w:rPr>
          <w:rFonts w:ascii="Calibri" w:hAnsi="Calibri"/>
          <w:sz w:val="28"/>
        </w:rPr>
        <w:t>-</w:t>
      </w:r>
      <w:r>
        <w:rPr>
          <w:rFonts w:ascii="Times New Roman" w:hAnsi="Times New Roman"/>
          <w:sz w:val="28"/>
        </w:rPr>
        <w:t xml:space="preserve"> отделения связи, почтовые отделения, телефонные и телеграфные станции и переговорные пункты.</w:t>
      </w:r>
    </w:p>
    <w:p w14:paraId="76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*За границами населенного пункта для зон С-1, С-2, СХ</w:t>
      </w:r>
    </w:p>
    <w:p w14:paraId="77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установить max-2,5 га, для вида разрешенного использования:</w:t>
      </w:r>
    </w:p>
    <w:p w14:paraId="78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- для ведения личного подсобного хозяйства. </w:t>
      </w:r>
    </w:p>
    <w:p w14:paraId="79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*За границами населенных пунктов для зон С-1, С-2, СХ</w:t>
      </w:r>
    </w:p>
    <w:p w14:paraId="7A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установить min-2,0 га, max-300 га, для видов разрешенного использования:</w:t>
      </w:r>
    </w:p>
    <w:p w14:paraId="7B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- крестьянско-фермерское хозяйство.</w:t>
      </w:r>
    </w:p>
    <w:p w14:paraId="7C000000">
      <w:pPr>
        <w:ind w:firstLine="540" w:left="0"/>
        <w:rPr>
          <w:sz w:val="28"/>
        </w:rPr>
      </w:pPr>
      <w:r>
        <w:rPr>
          <w:rFonts w:ascii="Times New Roman" w:hAnsi="Times New Roman"/>
          <w:sz w:val="28"/>
        </w:rPr>
        <w:t>Минимальные размеры образуемых земельных участков за границами населенных пунктов С-1, С-2, СХ – min-2,0 га.</w:t>
      </w:r>
    </w:p>
    <w:p w14:paraId="7D000000">
      <w:pPr>
        <w:ind w:firstLine="540" w:left="0"/>
        <w:rPr>
          <w:sz w:val="28"/>
        </w:rPr>
      </w:pPr>
      <w:r>
        <w:rPr>
          <w:rFonts w:ascii="Times New Roman" w:hAnsi="Times New Roman"/>
          <w:sz w:val="28"/>
        </w:rPr>
        <w:t>Предложения подготовлены на основании Градостроительного кодекса РФ, Свод правил Градостроительство. Планировка и застройка городских и сельских поселений разделов 5,6,7,8,9, 10,11 СП 42.13330.2011.</w:t>
      </w:r>
    </w:p>
    <w:p w14:paraId="7E000000">
      <w:pPr>
        <w:ind w:firstLine="0" w:left="0"/>
        <w:rPr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Жилые зоны:</w:t>
      </w:r>
    </w:p>
    <w:p w14:paraId="7F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Ж-1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Многофункциональная жилая зона</w:t>
      </w:r>
    </w:p>
    <w:p w14:paraId="80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Ж-2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Зона индивидуальной жилой застройки сельского типа</w:t>
      </w:r>
    </w:p>
    <w:p w14:paraId="81000000">
      <w:pPr>
        <w:ind w:firstLine="0" w:left="0"/>
        <w:rPr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Общественно-деловые зоны:</w:t>
      </w:r>
    </w:p>
    <w:p w14:paraId="82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СИ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Зона социальной инфраструктуры</w:t>
      </w:r>
    </w:p>
    <w:p w14:paraId="83000000">
      <w:pPr>
        <w:ind w:firstLine="0" w:left="0"/>
        <w:rPr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Производственные зоны:</w:t>
      </w:r>
    </w:p>
    <w:p w14:paraId="84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П-1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Промышленно-коммунальная зона предприятий IV, V классов вредности</w:t>
      </w:r>
    </w:p>
    <w:p w14:paraId="85000000">
      <w:pPr>
        <w:ind w:firstLine="0" w:left="0"/>
        <w:rPr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Зоны инженерной и транспортной инфраструктур:</w:t>
      </w:r>
    </w:p>
    <w:p w14:paraId="86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ИТ-1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Зона внешнего транспорта </w:t>
      </w:r>
    </w:p>
    <w:p w14:paraId="87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Зона инженерной инфраструктуры города</w:t>
      </w:r>
    </w:p>
    <w:p w14:paraId="88000000">
      <w:pPr>
        <w:ind w:firstLine="0" w:left="0"/>
        <w:rPr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Рекреационные зоны:</w:t>
      </w:r>
    </w:p>
    <w:p w14:paraId="89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Р-1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Зона парков, скверов, бульваров, набережных</w:t>
      </w:r>
    </w:p>
    <w:p w14:paraId="8A000000">
      <w:pPr>
        <w:ind w:firstLine="0" w:left="0"/>
        <w:rPr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Зоны специального назначения:</w:t>
      </w:r>
    </w:p>
    <w:p w14:paraId="8B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С-2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Зона кладбищ </w:t>
      </w:r>
    </w:p>
    <w:p w14:paraId="8C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  <w:u w:val="single"/>
        </w:rPr>
        <w:t>Зоны сельскохозяйственного назначения:</w:t>
      </w:r>
    </w:p>
    <w:p w14:paraId="8D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СХ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Зона сельскохозяйственного производства</w:t>
      </w:r>
    </w:p>
    <w:p w14:paraId="8E000000">
      <w:pPr>
        <w:ind w:firstLine="540" w:left="0"/>
        <w:rPr>
          <w:sz w:val="28"/>
        </w:rPr>
      </w:pPr>
      <w:r>
        <w:rPr>
          <w:rFonts w:ascii="Times New Roman" w:hAnsi="Times New Roman"/>
          <w:sz w:val="28"/>
        </w:rPr>
        <w:t xml:space="preserve">*- зоны сельскохозяйственных угодий - пашни, сенокосы, пастбища, залежи, земли, занятые многолетними насаждениями (садами, виноградниками и другими) (пункт 1 часть 9 статьи 35 Градостроительного кодекса Российской Федерации); </w:t>
      </w:r>
    </w:p>
    <w:p w14:paraId="8F000000">
      <w:pPr>
        <w:ind w:firstLine="540" w:left="0"/>
        <w:rPr>
          <w:rFonts w:ascii="Times New Roman" w:hAnsi="Times New Roman"/>
          <w:sz w:val="28"/>
        </w:rPr>
      </w:pPr>
    </w:p>
    <w:p w14:paraId="90000000">
      <w:pPr>
        <w:ind w:firstLine="0" w:left="0"/>
        <w:jc w:val="center"/>
        <w:rPr>
          <w:sz w:val="28"/>
        </w:rPr>
      </w:pPr>
      <w:r>
        <w:rPr>
          <w:rFonts w:ascii="Times New Roman" w:hAnsi="Times New Roman"/>
          <w:sz w:val="28"/>
        </w:rPr>
        <w:t>Показатели плотности застройки участков территориальных зон</w:t>
      </w:r>
    </w:p>
    <w:p w14:paraId="91000000">
      <w:pPr>
        <w:ind w:firstLine="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67"/>
        <w:tblLayout w:type="fixed"/>
      </w:tblPr>
      <w:tblGrid>
        <w:gridCol w:w="6034"/>
        <w:gridCol w:w="1668"/>
        <w:gridCol w:w="2012"/>
      </w:tblGrid>
      <w:tr>
        <w:trPr>
          <w:trHeight w:hRule="atLeast" w:val="641"/>
        </w:trPr>
        <w:tc>
          <w:tcPr>
            <w:tcW w:type="dxa" w:w="6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Территориальные зоны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 застройки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 плотности застройки</w:t>
            </w:r>
          </w:p>
        </w:tc>
      </w:tr>
      <w:tr>
        <w:trPr>
          <w:trHeight w:hRule="atLeast" w:val="357"/>
        </w:trPr>
        <w:tc>
          <w:tcPr>
            <w:tcW w:type="dxa" w:w="6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Жилая застройка многоквартирными многоэтажными жилыми</w:t>
            </w:r>
          </w:p>
          <w:p w14:paraId="96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 же - реконструируемая</w:t>
            </w:r>
          </w:p>
          <w:p w14:paraId="97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Застройка многоквартирными жилыми домами малой и средней этажности</w:t>
            </w:r>
          </w:p>
          <w:p w14:paraId="98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Застройка блокированными жилыми домами с приквартирными земельными участками</w:t>
            </w:r>
          </w:p>
          <w:p w14:paraId="99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Застройка одно-, двухквартирными жилыми домами с приусадебными земельными участками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  <w:p w14:paraId="9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9C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  <w:p w14:paraId="9D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  <w:p w14:paraId="9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9F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</w:t>
            </w:r>
          </w:p>
          <w:p w14:paraId="A0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A1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</w:t>
            </w:r>
          </w:p>
          <w:p w14:paraId="A3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A4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</w:t>
            </w:r>
          </w:p>
          <w:p w14:paraId="A5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  <w:p w14:paraId="A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A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  <w:p w14:paraId="A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A9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</w:tr>
      <w:tr>
        <w:trPr>
          <w:trHeight w:hRule="atLeast" w:val="641"/>
        </w:trPr>
        <w:tc>
          <w:tcPr>
            <w:tcW w:type="dxa" w:w="6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Общественно-деловая</w:t>
            </w:r>
          </w:p>
          <w:p w14:paraId="AB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Многофункциональная застройка</w:t>
            </w:r>
          </w:p>
          <w:p w14:paraId="AC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Специализированная общественная застройка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14:paraId="AE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AF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  <w:p w14:paraId="B1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B2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</w:tr>
      <w:tr>
        <w:trPr>
          <w:trHeight w:hRule="atLeast" w:val="872"/>
        </w:trPr>
        <w:tc>
          <w:tcPr>
            <w:tcW w:type="dxa" w:w="6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Производственная</w:t>
            </w:r>
          </w:p>
          <w:p w14:paraId="B4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Промышленная</w:t>
            </w:r>
          </w:p>
          <w:p w14:paraId="B5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Научно-производственная &lt;*&gt;</w:t>
            </w:r>
          </w:p>
          <w:p w14:paraId="B6000000">
            <w:pPr>
              <w:widowControl w:val="0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Коммунально-складская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0,8</w:t>
            </w:r>
          </w:p>
          <w:p w14:paraId="B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B9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  <w:p w14:paraId="BA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  <w:tc>
          <w:tcPr>
            <w:tcW w:type="dxa" w:w="20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  <w:p w14:paraId="BC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  <w:p w14:paraId="BD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  <w:p w14:paraId="BE000000">
            <w:pPr>
              <w:widowControl w:val="0"/>
              <w:ind w:firstLine="0" w:left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</w:t>
            </w:r>
          </w:p>
        </w:tc>
      </w:tr>
    </w:tbl>
    <w:p w14:paraId="BF000000">
      <w:pPr>
        <w:ind w:firstLine="540" w:left="0"/>
        <w:rPr>
          <w:sz w:val="28"/>
        </w:rPr>
      </w:pPr>
      <w:r>
        <w:rPr>
          <w:rFonts w:ascii="Times New Roman" w:hAnsi="Times New Roman"/>
          <w:sz w:val="28"/>
        </w:rPr>
        <w:t xml:space="preserve">Основными показателями плотности застройки являются: </w:t>
      </w:r>
    </w:p>
    <w:p w14:paraId="C0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- коэффициент застройки - отношение площади, занятой под зданиями и сооружениями, к площади з.у. (квартала); </w:t>
      </w:r>
    </w:p>
    <w:p w14:paraId="C1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- коэффициент плотности застройки - отношение площади всех этажей зданий и сооружений к площади з.у. (квартала).</w:t>
      </w:r>
    </w:p>
    <w:p w14:paraId="C2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    2. Настоящее решение вступает в силу с момента его принятия.</w:t>
      </w:r>
    </w:p>
    <w:p w14:paraId="C3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    3. Настоящее решение подлежит обнародованию в порядке, определенном статьей 37 Устава Плюсского муниципального округа.</w:t>
      </w:r>
    </w:p>
    <w:p w14:paraId="C4000000">
      <w:pPr>
        <w:rPr>
          <w:rFonts w:ascii="Times New Roman" w:hAnsi="Times New Roman"/>
          <w:sz w:val="28"/>
        </w:rPr>
      </w:pPr>
    </w:p>
    <w:p w14:paraId="C5000000">
      <w:pPr>
        <w:ind w:firstLine="0" w:left="0"/>
        <w:rPr>
          <w:sz w:val="28"/>
        </w:rPr>
      </w:pPr>
    </w:p>
    <w:p w14:paraId="C6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14:paraId="C7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>Плюсского муниципального округа</w:t>
      </w:r>
      <w:r>
        <w:rPr>
          <w:rFonts w:ascii="Times New Roman" w:hAnsi="Times New Roman"/>
          <w:sz w:val="28"/>
        </w:rPr>
        <w:t xml:space="preserve">                                                     О.В. Лазарева</w:t>
      </w:r>
    </w:p>
    <w:p w14:paraId="C8000000">
      <w:pPr>
        <w:ind w:firstLine="0" w:left="0"/>
        <w:rPr>
          <w:rFonts w:ascii="Times New Roman" w:hAnsi="Times New Roman"/>
          <w:sz w:val="28"/>
        </w:rPr>
      </w:pPr>
    </w:p>
    <w:p w14:paraId="C9000000">
      <w:pPr>
        <w:ind w:firstLine="0" w:left="0"/>
        <w:rPr>
          <w:sz w:val="28"/>
        </w:rPr>
      </w:pPr>
      <w:r>
        <w:rPr>
          <w:rFonts w:ascii="Times New Roman" w:hAnsi="Times New Roman"/>
          <w:sz w:val="28"/>
        </w:rPr>
        <w:t xml:space="preserve">Глава Плюсского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                                           Н.Л. Иванова</w:t>
      </w:r>
    </w:p>
    <w:p w14:paraId="CA000000">
      <w:pPr>
        <w:pStyle w:val="Style_1"/>
        <w:widowControl w:val="1"/>
        <w:spacing w:line="276" w:lineRule="auto"/>
        <w:ind/>
        <w:jc w:val="center"/>
        <w:rPr>
          <w:sz w:val="28"/>
        </w:rPr>
      </w:pPr>
    </w:p>
    <w:p w14:paraId="CB000000">
      <w:pPr>
        <w:rPr>
          <w:sz w:val="28"/>
        </w:rPr>
      </w:pPr>
    </w:p>
    <w:sectPr>
      <w:pgSz w:h="16838" w:orient="portrait" w:w="11906"/>
      <w:pgMar w:bottom="993" w:footer="708" w:gutter="0" w:header="708" w:left="1418" w:right="70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 w:firstLine="720" w:left="0"/>
      <w:jc w:val="both"/>
    </w:pPr>
    <w:rPr>
      <w:rFonts w:ascii="Courier New" w:hAnsi="Courier New"/>
      <w:color w:val="000000"/>
      <w:sz w:val="20"/>
    </w:rPr>
  </w:style>
  <w:style w:default="1" w:styleId="Style_5_ch" w:type="character">
    <w:name w:val="Normal"/>
    <w:link w:val="Style_5"/>
    <w:rPr>
      <w:rFonts w:ascii="Courier New" w:hAnsi="Courier New"/>
      <w:color w:val="000000"/>
      <w:sz w:val="20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color w:val="000000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color w:val="000000"/>
      <w:sz w:val="24"/>
    </w:rPr>
  </w:style>
  <w:style w:styleId="Style_6" w:type="paragraph">
    <w:name w:val="Intense Emphasis"/>
    <w:basedOn w:val="Style_7"/>
    <w:link w:val="Style_6_ch"/>
    <w:rPr>
      <w:i w:val="1"/>
      <w:color w:themeColor="accent1" w:themeShade="BF" w:val="2F5496"/>
    </w:rPr>
  </w:style>
  <w:style w:styleId="Style_6_ch" w:type="character">
    <w:name w:val="Intense Emphasis"/>
    <w:basedOn w:val="Style_7_ch"/>
    <w:link w:val="Style_6"/>
    <w:rPr>
      <w:i w:val="1"/>
      <w:color w:themeColor="accent1" w:themeShade="BF" w:val="2F5496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before="40" w:line="264" w:lineRule="auto"/>
      <w:ind w:firstLine="0" w:left="0"/>
      <w:jc w:val="left"/>
      <w:outlineLvl w:val="6"/>
    </w:pPr>
    <w:rPr>
      <w:rFonts w:asciiTheme="minorAscii" w:hAnsiTheme="minorHAnsi"/>
      <w:color w:themeColor="text1" w:themeTint="A6" w:val="595959"/>
      <w:sz w:val="22"/>
    </w:rPr>
  </w:style>
  <w:style w:styleId="Style_10_ch" w:type="character">
    <w:name w:val="heading 7"/>
    <w:basedOn w:val="Style_5_ch"/>
    <w:link w:val="Style_10"/>
    <w:rPr>
      <w:rFonts w:asciiTheme="minorAscii" w:hAnsiTheme="minorHAnsi"/>
      <w:color w:themeColor="text1" w:themeTint="A6" w:val="595959"/>
      <w:sz w:val="22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keepLines w:val="1"/>
      <w:spacing w:after="80" w:before="160" w:line="264" w:lineRule="auto"/>
      <w:ind w:firstLine="0" w:left="0"/>
      <w:jc w:val="left"/>
      <w:outlineLvl w:val="2"/>
    </w:pPr>
    <w:rPr>
      <w:rFonts w:asciiTheme="minorAscii" w:hAnsiTheme="minorHAnsi"/>
      <w:color w:themeColor="accent1" w:themeShade="BF" w:val="2F5496"/>
      <w:sz w:val="28"/>
    </w:rPr>
  </w:style>
  <w:style w:styleId="Style_13_ch" w:type="character">
    <w:name w:val="heading 3"/>
    <w:basedOn w:val="Style_5_ch"/>
    <w:link w:val="Style_13"/>
    <w:rPr>
      <w:rFonts w:asciiTheme="minorAscii" w:hAnsiTheme="minorHAnsi"/>
      <w:color w:themeColor="accent1" w:themeShade="BF" w:val="2F5496"/>
      <w:sz w:val="28"/>
    </w:rPr>
  </w:style>
  <w:style w:styleId="Style_14" w:type="paragraph">
    <w:name w:val="heading 9"/>
    <w:basedOn w:val="Style_5"/>
    <w:next w:val="Style_5"/>
    <w:link w:val="Style_14_ch"/>
    <w:uiPriority w:val="9"/>
    <w:qFormat/>
    <w:pPr>
      <w:keepNext w:val="1"/>
      <w:keepLines w:val="1"/>
      <w:spacing w:line="264" w:lineRule="auto"/>
      <w:ind w:firstLine="0" w:left="0"/>
      <w:jc w:val="left"/>
      <w:outlineLvl w:val="8"/>
    </w:pPr>
    <w:rPr>
      <w:rFonts w:asciiTheme="minorAscii" w:hAnsiTheme="minorHAnsi"/>
      <w:color w:themeColor="text1" w:themeTint="D8" w:val="272727"/>
      <w:sz w:val="22"/>
    </w:rPr>
  </w:style>
  <w:style w:styleId="Style_14_ch" w:type="character">
    <w:name w:val="heading 9"/>
    <w:basedOn w:val="Style_5_ch"/>
    <w:link w:val="Style_14"/>
    <w:rPr>
      <w:rFonts w:asciiTheme="minorAscii" w:hAnsiTheme="minorHAnsi"/>
      <w:color w:themeColor="text1" w:themeTint="D8" w:val="272727"/>
      <w:sz w:val="22"/>
    </w:rPr>
  </w:style>
  <w:style w:styleId="Style_15" w:type="paragraph">
    <w:name w:val="Intense Reference"/>
    <w:basedOn w:val="Style_7"/>
    <w:link w:val="Style_15_ch"/>
    <w:rPr>
      <w:b w:val="1"/>
      <w:smallCaps w:val="1"/>
      <w:color w:themeColor="accent1" w:themeShade="BF" w:val="2F5496"/>
      <w:spacing w:val="5"/>
    </w:rPr>
  </w:style>
  <w:style w:styleId="Style_15_ch" w:type="character">
    <w:name w:val="Intense Reference"/>
    <w:basedOn w:val="Style_7_ch"/>
    <w:link w:val="Style_15"/>
    <w:rPr>
      <w:b w:val="1"/>
      <w:smallCaps w:val="1"/>
      <w:color w:themeColor="accent1" w:themeShade="BF" w:val="2F5496"/>
      <w:spacing w:val="5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5"/>
    <w:link w:val="Style_17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  <w:color w:val="000000"/>
      <w:sz w:val="22"/>
    </w:rPr>
  </w:style>
  <w:style w:styleId="Style_17_ch" w:type="character">
    <w:name w:val="List Paragraph"/>
    <w:basedOn w:val="Style_5_ch"/>
    <w:link w:val="Style_17"/>
    <w:rPr>
      <w:rFonts w:asciiTheme="minorAscii" w:hAnsiTheme="minorHAnsi"/>
      <w:color w:val="000000"/>
      <w:sz w:val="22"/>
    </w:rPr>
  </w:style>
  <w:style w:styleId="Style_18" w:type="paragraph">
    <w:name w:val="heading 5"/>
    <w:basedOn w:val="Style_5"/>
    <w:next w:val="Style_5"/>
    <w:link w:val="Style_18_ch"/>
    <w:uiPriority w:val="9"/>
    <w:qFormat/>
    <w:pPr>
      <w:keepNext w:val="1"/>
      <w:keepLines w:val="1"/>
      <w:spacing w:after="40" w:before="80" w:line="264" w:lineRule="auto"/>
      <w:ind w:firstLine="0" w:left="0"/>
      <w:jc w:val="left"/>
      <w:outlineLvl w:val="4"/>
    </w:pPr>
    <w:rPr>
      <w:rFonts w:asciiTheme="minorAscii" w:hAnsiTheme="minorHAnsi"/>
      <w:color w:themeColor="accent1" w:themeShade="BF" w:val="2F5496"/>
      <w:sz w:val="22"/>
    </w:rPr>
  </w:style>
  <w:style w:styleId="Style_18_ch" w:type="character">
    <w:name w:val="heading 5"/>
    <w:basedOn w:val="Style_5_ch"/>
    <w:link w:val="Style_18"/>
    <w:rPr>
      <w:rFonts w:asciiTheme="minorAscii" w:hAnsiTheme="minorHAnsi"/>
      <w:color w:themeColor="accent1" w:themeShade="BF" w:val="2F5496"/>
      <w:sz w:val="22"/>
    </w:rPr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keepLines w:val="1"/>
      <w:spacing w:after="80" w:before="360" w:line="264" w:lineRule="auto"/>
      <w:ind w:firstLine="0" w:left="0"/>
      <w:jc w:val="left"/>
      <w:outlineLvl w:val="0"/>
    </w:pPr>
    <w:rPr>
      <w:rFonts w:asciiTheme="majorAscii" w:hAnsiTheme="majorHAnsi"/>
      <w:color w:themeColor="accent1" w:themeShade="BF" w:val="2F5496"/>
      <w:sz w:val="40"/>
    </w:rPr>
  </w:style>
  <w:style w:styleId="Style_19_ch" w:type="character">
    <w:name w:val="heading 1"/>
    <w:basedOn w:val="Style_5_ch"/>
    <w:link w:val="Style_19"/>
    <w:rPr>
      <w:rFonts w:asciiTheme="majorAscii" w:hAnsiTheme="majorHAnsi"/>
      <w:color w:themeColor="accent1" w:themeShade="BF" w:val="2F5496"/>
      <w:sz w:val="40"/>
    </w:rPr>
  </w:style>
  <w:style w:styleId="Style_20" w:type="paragraph">
    <w:name w:val="Intense Quote"/>
    <w:basedOn w:val="Style_5"/>
    <w:next w:val="Style_5"/>
    <w:link w:val="Style_20_ch"/>
    <w:pPr>
      <w:spacing w:after="360" w:before="360" w:line="264" w:lineRule="auto"/>
      <w:ind w:firstLine="0" w:left="864" w:right="864"/>
      <w:jc w:val="center"/>
    </w:pPr>
    <w:rPr>
      <w:rFonts w:asciiTheme="minorAscii" w:hAnsiTheme="minorHAnsi"/>
      <w:i w:val="1"/>
      <w:color w:themeColor="accent1" w:themeShade="BF" w:val="2F5496"/>
      <w:sz w:val="22"/>
    </w:rPr>
  </w:style>
  <w:style w:styleId="Style_20_ch" w:type="character">
    <w:name w:val="Intense Quote"/>
    <w:basedOn w:val="Style_5_ch"/>
    <w:link w:val="Style_20"/>
    <w:rPr>
      <w:rFonts w:asciiTheme="minorAscii" w:hAnsiTheme="minorHAnsi"/>
      <w:i w:val="1"/>
      <w:color w:themeColor="accent1" w:themeShade="BF" w:val="2F5496"/>
      <w:sz w:val="2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heading 8"/>
    <w:basedOn w:val="Style_5"/>
    <w:next w:val="Style_5"/>
    <w:link w:val="Style_23_ch"/>
    <w:uiPriority w:val="9"/>
    <w:qFormat/>
    <w:pPr>
      <w:keepNext w:val="1"/>
      <w:keepLines w:val="1"/>
      <w:spacing w:line="264" w:lineRule="auto"/>
      <w:ind w:firstLine="0" w:left="0"/>
      <w:jc w:val="left"/>
      <w:outlineLvl w:val="7"/>
    </w:pPr>
    <w:rPr>
      <w:rFonts w:asciiTheme="minorAscii" w:hAnsiTheme="minorHAnsi"/>
      <w:i w:val="1"/>
      <w:color w:themeColor="text1" w:themeTint="D8" w:val="272727"/>
      <w:sz w:val="22"/>
    </w:rPr>
  </w:style>
  <w:style w:styleId="Style_23_ch" w:type="character">
    <w:name w:val="heading 8"/>
    <w:basedOn w:val="Style_5_ch"/>
    <w:link w:val="Style_23"/>
    <w:rPr>
      <w:rFonts w:asciiTheme="minorAscii" w:hAnsiTheme="minorHAnsi"/>
      <w:i w:val="1"/>
      <w:color w:themeColor="text1" w:themeTint="D8" w:val="272727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Обычный1"/>
    <w:link w:val="Style_25_ch"/>
    <w:rPr>
      <w:rFonts w:ascii="Courier New" w:hAnsi="Courier New"/>
      <w:color w:val="000000"/>
      <w:sz w:val="20"/>
    </w:rPr>
  </w:style>
  <w:style w:styleId="Style_25_ch" w:type="character">
    <w:name w:val="Обычный1"/>
    <w:link w:val="Style_25"/>
    <w:rPr>
      <w:rFonts w:ascii="Courier New" w:hAnsi="Courier New"/>
      <w:color w:val="000000"/>
      <w:sz w:val="20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Quote"/>
    <w:basedOn w:val="Style_5"/>
    <w:next w:val="Style_5"/>
    <w:link w:val="Style_28_ch"/>
    <w:pPr>
      <w:spacing w:after="160" w:before="160" w:line="264" w:lineRule="auto"/>
      <w:ind w:firstLine="0" w:left="0"/>
      <w:jc w:val="center"/>
    </w:pPr>
    <w:rPr>
      <w:rFonts w:asciiTheme="minorAscii" w:hAnsiTheme="minorHAnsi"/>
      <w:i w:val="1"/>
      <w:color w:themeColor="text1" w:themeTint="BF" w:val="404040"/>
      <w:sz w:val="22"/>
    </w:rPr>
  </w:style>
  <w:style w:styleId="Style_28_ch" w:type="character">
    <w:name w:val="Quote"/>
    <w:basedOn w:val="Style_5_ch"/>
    <w:link w:val="Style_28"/>
    <w:rPr>
      <w:rFonts w:asciiTheme="minorAscii" w:hAnsiTheme="minorHAnsi"/>
      <w:i w:val="1"/>
      <w:color w:themeColor="text1" w:themeTint="BF" w:val="404040"/>
      <w:sz w:val="22"/>
    </w:rPr>
  </w:style>
  <w:style w:styleId="Style_3" w:type="paragraph">
    <w:name w:val="ОСНОВНОЙ !!!"/>
    <w:basedOn w:val="Style_29"/>
    <w:link w:val="Style_3_ch"/>
    <w:pPr>
      <w:spacing w:after="0" w:before="120"/>
      <w:ind w:firstLine="900" w:left="0"/>
    </w:pPr>
    <w:rPr>
      <w:rFonts w:ascii="Arial" w:hAnsi="Arial"/>
      <w:sz w:val="24"/>
    </w:rPr>
  </w:style>
  <w:style w:styleId="Style_3_ch" w:type="character">
    <w:name w:val="ОСНОВНОЙ !!!"/>
    <w:basedOn w:val="Style_29_ch"/>
    <w:link w:val="Style_3"/>
    <w:rPr>
      <w:rFonts w:ascii="Arial" w:hAnsi="Arial"/>
      <w:sz w:val="24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basedOn w:val="Style_5"/>
    <w:next w:val="Style_5"/>
    <w:link w:val="Style_32_ch"/>
    <w:uiPriority w:val="11"/>
    <w:qFormat/>
    <w:pPr>
      <w:numPr>
        <w:ilvl w:val="1"/>
      </w:numPr>
      <w:spacing w:after="160" w:line="264" w:lineRule="auto"/>
      <w:ind w:firstLine="720" w:left="0"/>
      <w:jc w:val="left"/>
    </w:pPr>
    <w:rPr>
      <w:rFonts w:asciiTheme="minorAscii" w:hAnsiTheme="minorHAnsi"/>
      <w:color w:themeColor="text1" w:themeTint="A6" w:val="595959"/>
      <w:spacing w:val="15"/>
      <w:sz w:val="28"/>
    </w:rPr>
  </w:style>
  <w:style w:styleId="Style_32_ch" w:type="character">
    <w:name w:val="Subtitle"/>
    <w:basedOn w:val="Style_5_ch"/>
    <w:link w:val="Style_32"/>
    <w:rPr>
      <w:rFonts w:asciiTheme="minorAscii" w:hAnsiTheme="minorHAnsi"/>
      <w:color w:themeColor="text1" w:themeTint="A6" w:val="595959"/>
      <w:spacing w:val="15"/>
      <w:sz w:val="28"/>
    </w:rPr>
  </w:style>
  <w:style w:styleId="Style_29" w:type="paragraph">
    <w:name w:val="Body Text"/>
    <w:basedOn w:val="Style_5"/>
    <w:link w:val="Style_29_ch"/>
    <w:pPr>
      <w:spacing w:after="120"/>
      <w:ind/>
    </w:pPr>
  </w:style>
  <w:style w:styleId="Style_29_ch" w:type="character">
    <w:name w:val="Body Text"/>
    <w:basedOn w:val="Style_5_ch"/>
    <w:link w:val="Style_29"/>
  </w:style>
  <w:style w:styleId="Style_33" w:type="paragraph">
    <w:name w:val="Title"/>
    <w:basedOn w:val="Style_5"/>
    <w:next w:val="Style_5"/>
    <w:link w:val="Style_33_ch"/>
    <w:uiPriority w:val="10"/>
    <w:qFormat/>
    <w:pPr>
      <w:spacing w:after="80"/>
      <w:ind w:firstLine="0" w:left="0"/>
      <w:contextualSpacing w:val="1"/>
      <w:jc w:val="left"/>
    </w:pPr>
    <w:rPr>
      <w:rFonts w:asciiTheme="majorAscii" w:hAnsiTheme="majorHAnsi"/>
      <w:color w:val="000000"/>
      <w:spacing w:val="-10"/>
      <w:sz w:val="56"/>
    </w:rPr>
  </w:style>
  <w:style w:styleId="Style_33_ch" w:type="character">
    <w:name w:val="Title"/>
    <w:basedOn w:val="Style_5_ch"/>
    <w:link w:val="Style_33"/>
    <w:rPr>
      <w:rFonts w:asciiTheme="majorAscii" w:hAnsiTheme="majorHAnsi"/>
      <w:color w:val="000000"/>
      <w:spacing w:val="-10"/>
      <w:sz w:val="56"/>
    </w:rPr>
  </w:style>
  <w:style w:styleId="Style_34" w:type="paragraph">
    <w:name w:val="heading 4"/>
    <w:basedOn w:val="Style_5"/>
    <w:next w:val="Style_5"/>
    <w:link w:val="Style_34_ch"/>
    <w:uiPriority w:val="9"/>
    <w:qFormat/>
    <w:pPr>
      <w:keepNext w:val="1"/>
      <w:keepLines w:val="1"/>
      <w:spacing w:after="40" w:before="80" w:line="264" w:lineRule="auto"/>
      <w:ind w:firstLine="0" w:left="0"/>
      <w:jc w:val="left"/>
      <w:outlineLvl w:val="3"/>
    </w:pPr>
    <w:rPr>
      <w:rFonts w:asciiTheme="minorAscii" w:hAnsiTheme="minorHAnsi"/>
      <w:i w:val="1"/>
      <w:color w:themeColor="accent1" w:themeShade="BF" w:val="2F5496"/>
      <w:sz w:val="22"/>
    </w:rPr>
  </w:style>
  <w:style w:styleId="Style_34_ch" w:type="character">
    <w:name w:val="heading 4"/>
    <w:basedOn w:val="Style_5_ch"/>
    <w:link w:val="Style_34"/>
    <w:rPr>
      <w:rFonts w:asciiTheme="minorAscii" w:hAnsiTheme="minorHAnsi"/>
      <w:i w:val="1"/>
      <w:color w:themeColor="accent1" w:themeShade="BF" w:val="2F5496"/>
      <w:sz w:val="22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keepLines w:val="1"/>
      <w:spacing w:after="80" w:before="160" w:line="264" w:lineRule="auto"/>
      <w:ind w:firstLine="0" w:left="0"/>
      <w:jc w:val="left"/>
      <w:outlineLvl w:val="1"/>
    </w:pPr>
    <w:rPr>
      <w:rFonts w:asciiTheme="majorAscii" w:hAnsiTheme="majorHAnsi"/>
      <w:color w:themeColor="accent1" w:themeShade="BF" w:val="2F5496"/>
      <w:sz w:val="32"/>
    </w:rPr>
  </w:style>
  <w:style w:styleId="Style_35_ch" w:type="character">
    <w:name w:val="heading 2"/>
    <w:basedOn w:val="Style_5_ch"/>
    <w:link w:val="Style_35"/>
    <w:rPr>
      <w:rFonts w:asciiTheme="majorAscii" w:hAnsiTheme="majorHAnsi"/>
      <w:color w:themeColor="accent1" w:themeShade="BF" w:val="2F5496"/>
      <w:sz w:val="32"/>
    </w:rPr>
  </w:style>
  <w:style w:styleId="Style_36" w:type="paragraph">
    <w:name w:val="heading 6"/>
    <w:basedOn w:val="Style_5"/>
    <w:next w:val="Style_5"/>
    <w:link w:val="Style_36_ch"/>
    <w:uiPriority w:val="9"/>
    <w:qFormat/>
    <w:pPr>
      <w:keepNext w:val="1"/>
      <w:keepLines w:val="1"/>
      <w:spacing w:before="40" w:line="264" w:lineRule="auto"/>
      <w:ind w:firstLine="0" w:left="0"/>
      <w:jc w:val="left"/>
      <w:outlineLvl w:val="5"/>
    </w:pPr>
    <w:rPr>
      <w:rFonts w:asciiTheme="minorAscii" w:hAnsiTheme="minorHAnsi"/>
      <w:i w:val="1"/>
      <w:color w:themeColor="text1" w:themeTint="A6" w:val="595959"/>
      <w:sz w:val="22"/>
    </w:rPr>
  </w:style>
  <w:style w:styleId="Style_36_ch" w:type="character">
    <w:name w:val="heading 6"/>
    <w:basedOn w:val="Style_5_ch"/>
    <w:link w:val="Style_36"/>
    <w:rPr>
      <w:rFonts w:asciiTheme="minorAscii" w:hAnsiTheme="minorHAnsi"/>
      <w:i w:val="1"/>
      <w:color w:themeColor="text1" w:themeTint="A6" w:val="595959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2025-03-05T18:42:18Z</dcterms:modified>
</cp:coreProperties>
</file>